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54" w:lineRule="exact"/>
        <w:rPr>
          <w:sz w:val="24"/>
          <w:szCs w:val="24"/>
          <w:color w:val="auto"/>
        </w:rPr>
      </w:pPr>
    </w:p>
    <w:p>
      <w:pPr>
        <w:jc w:val="center"/>
        <w:spacing w:after="0" w:line="45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0"/>
          <w:szCs w:val="40"/>
          <w:b w:val="1"/>
          <w:bCs w:val="1"/>
          <w:color w:val="auto"/>
        </w:rPr>
        <w:t>2018 一建《工程经济》教材对比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813435</wp:posOffset>
            </wp:positionV>
            <wp:extent cx="6366510" cy="77825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778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jc w:val="center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FF0000"/>
        </w:rPr>
        <w:t>第一章 工程经济</w:t>
      </w:r>
    </w:p>
    <w:p>
      <w:pPr>
        <w:spacing w:after="0" w:line="25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54"/>
        </w:trPr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2018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章节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333333"/>
              </w:rPr>
              <w:t>页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内容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页</w:t>
            </w:r>
          </w:p>
        </w:tc>
        <w:tc>
          <w:tcPr>
            <w:tcW w:w="394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内容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333333"/>
              </w:rPr>
              <w:t>码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码</w:t>
            </w:r>
          </w:p>
        </w:tc>
        <w:tc>
          <w:tcPr>
            <w:tcW w:w="39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新增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6"/>
        </w:trPr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333333"/>
              </w:rPr>
              <w:t>6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“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根据现金流量时间发布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……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1Z101012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资金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支付情形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等值计算及内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40" w:type="dxa"/>
            <w:vAlign w:val="bottom"/>
            <w:vMerge w:val="restart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原教材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在工程经济活动中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……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则可大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40" w:type="dxa"/>
            <w:vAlign w:val="bottom"/>
            <w:vMerge w:val="restart"/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大简化上述计算公式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【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删除部分为公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删除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9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3"/>
        </w:trPr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式推导过程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6"/>
        </w:trPr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修改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3"/>
        </w:trPr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14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（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二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）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技术方案偿还能力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”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9"/>
        </w:trPr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1Z101021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经济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中的部分内容进行了修改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效果评价的内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容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新增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（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包括方案在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……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的可比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18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性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）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2"/>
        </w:trPr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1Z101024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投资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新增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“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不同的部门或行业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……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23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自己的标准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。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回收期分析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3"/>
        </w:trPr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2"/>
        </w:trPr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1Z101026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财务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新增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“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而对多个解的分析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……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内部收益率分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26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可行性判断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析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2"/>
        </w:trPr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1Z101028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偿债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28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新增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“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一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偿债能力层次分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20"/>
          </w:cols>
          <w:pgMar w:left="940" w:top="1440" w:right="946" w:bottom="786" w:gutter="0" w:footer="0" w:header="0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82"/>
        </w:trPr>
        <w:tc>
          <w:tcPr>
            <w:tcW w:w="1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能力分析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析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……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分析偿债能力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修改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29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四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偿还能力指标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30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三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偿还能力分析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4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8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删除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37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由于单位产品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……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区间范围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1Z101032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盈亏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修改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平衡分析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37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六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结果分析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……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这个目标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39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盈亏平衡点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……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这个目标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3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修改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8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42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一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投资现金流量表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……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企业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43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一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投资现金流量表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……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中的所得税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3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价值的贡献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1Z101041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技术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修改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方案现金流量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43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二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资本现金流量表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……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可以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44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二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资本现金流量表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……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如表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1Z10104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表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1-2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所示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接受的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新增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47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“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拥有足够的经营净现金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……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利润分配方案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8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50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删除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式中各项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……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包括在内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1Z101042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技术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方案现金流量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修改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表的构成要素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51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“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经国务院批准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……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应纳增值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53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经国务院批准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……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计算及与相关报表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的联系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税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修改为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1Z101053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设备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58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“1Z101053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设备更新时期的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“1Z101053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设备更新方案的比选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确定方法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更新时期的确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定方法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59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修改为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三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设备更新方案的比选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1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20"/>
          </w:cols>
          <w:pgMar w:left="940" w:top="1420" w:right="946" w:bottom="1146" w:gutter="0" w:footer="0" w:header="0"/>
        </w:sectPr>
      </w:pPr>
    </w:p>
    <w:bookmarkStart w:id="2" w:name="page3"/>
    <w:bookmarkEnd w:id="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40"/>
        </w:trPr>
        <w:tc>
          <w:tcPr>
            <w:tcW w:w="1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三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设备更新时机的确定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4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修改为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59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“1Z101054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设备租赁与购买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“1Z101060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设备租赁与购买方案的比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选分析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方案的比选分析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修改为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三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设备方案比选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2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1Z101054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设备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并且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，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其中内容做了删减与补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“1Z101062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设备租赁与购买方案的比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租赁与购买方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61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64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选分析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案的比选分析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充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删除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:“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净现金流量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的两个计算公式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补充部分为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“3.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定性分析筛选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3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方案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中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“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（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2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）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设备方案技术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3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分析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及其下面内容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67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删去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：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（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二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）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购买设备方案的净现金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流量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中两个净现金流量的计算公式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78-7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新增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：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一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新技术应用方案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4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1Z101072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新技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9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的技术经济分析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中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“4.   5. ”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两个小点的内容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术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 xml:space="preserve"> 新工艺和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2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新材料应用方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二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新技术应用方案的技术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案的技术分析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79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分析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中内容进行了修改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，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扩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9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充了其内容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1Z101073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新技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术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 xml:space="preserve"> 新工艺和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新增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：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四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新技术应用方案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333333"/>
              </w:rPr>
              <w:t>82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的技术经济综合分析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的整个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新材料应用方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部分内容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案的经济分析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20"/>
          </w:cols>
          <w:pgMar w:left="940" w:top="1420" w:right="946" w:bottom="1440" w:gutter="0" w:footer="0" w:header="0"/>
        </w:sectPr>
      </w:pPr>
    </w:p>
    <w:bookmarkStart w:id="3" w:name="page4"/>
    <w:bookmarkEnd w:id="3"/>
    <w:p>
      <w:pPr>
        <w:spacing w:after="0" w:line="88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595630</wp:posOffset>
            </wp:positionH>
            <wp:positionV relativeFrom="page">
              <wp:posOffset>914400</wp:posOffset>
            </wp:positionV>
            <wp:extent cx="6368415" cy="8773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877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FF0000"/>
        </w:rPr>
        <w:t>第二章 工程财务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53"/>
        </w:trPr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2018</w:t>
            </w:r>
          </w:p>
        </w:tc>
        <w:tc>
          <w:tcPr>
            <w:tcW w:w="6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top w:val="single" w:sz="8" w:color="auto"/>
            </w:tcBorders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页码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3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内容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  <w:w w:val="95"/>
              </w:rPr>
              <w:t>页</w:t>
            </w:r>
          </w:p>
        </w:tc>
        <w:tc>
          <w:tcPr>
            <w:tcW w:w="3180" w:type="dxa"/>
            <w:vAlign w:val="bottom"/>
            <w:vMerge w:val="restart"/>
          </w:tcPr>
          <w:p>
            <w:pPr>
              <w:ind w:left="1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内容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  <w:w w:val="95"/>
              </w:rPr>
              <w:t>码</w:t>
            </w:r>
          </w:p>
        </w:tc>
        <w:tc>
          <w:tcPr>
            <w:tcW w:w="31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  <w:w w:val="98"/>
              </w:rPr>
              <w:t>85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修改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：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 xml:space="preserve"> 对财务会计基础的介绍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内容进行了删减和修改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，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 xml:space="preserve"> 缩小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1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篇幅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  <w:w w:val="98"/>
              </w:rPr>
              <w:t>85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修改为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：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1Z101021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财务会计的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85</w:t>
            </w:r>
          </w:p>
        </w:tc>
        <w:tc>
          <w:tcPr>
            <w:tcW w:w="31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  <w:w w:val="95"/>
              </w:rPr>
              <w:t xml:space="preserve">“ 1 Z 1 0 1 0 2 1 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  <w:w w:val="95"/>
              </w:rPr>
              <w:t>财 务 会 计 的 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内涵内容做了补充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能 一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财务会计的内涵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  <w:w w:val="98"/>
              </w:rPr>
              <w:t>86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修改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：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“1Z102012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财务会计工作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86</w:t>
            </w:r>
          </w:p>
        </w:tc>
        <w:tc>
          <w:tcPr>
            <w:tcW w:w="3180" w:type="dxa"/>
            <w:vAlign w:val="bottom"/>
            <w:vMerge w:val="restart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二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财务会计的职能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基本内容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中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一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财务会计的职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6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能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的内容进行了补充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20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1Z102010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财务会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20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86-89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新增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：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二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会计要素的组成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”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计基础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和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三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会计工作基本流程和内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3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容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91-93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修改补充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：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1Z102014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会计核算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87-8</w:t>
            </w:r>
          </w:p>
        </w:tc>
        <w:tc>
          <w:tcPr>
            <w:tcW w:w="31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1Z102013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会计核算的基本前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  <w:w w:val="87"/>
              </w:rPr>
              <w:t>9</w:t>
            </w:r>
          </w:p>
        </w:tc>
        <w:tc>
          <w:tcPr>
            <w:tcW w:w="318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的基本前提中的部分内容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2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93-94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修改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：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“1Z102015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会计等式及其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89-9</w:t>
            </w:r>
          </w:p>
        </w:tc>
        <w:tc>
          <w:tcPr>
            <w:tcW w:w="31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“1Z102014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会计要素的组成和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  <w:w w:val="87"/>
              </w:rPr>
              <w:t>1</w:t>
            </w:r>
          </w:p>
        </w:tc>
        <w:tc>
          <w:tcPr>
            <w:tcW w:w="3180" w:type="dxa"/>
            <w:vAlign w:val="bottom"/>
            <w:vMerge w:val="restart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会计等式的应用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应用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中的部分内容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  <w:w w:val="98"/>
              </w:rPr>
              <w:t>94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新增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：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“1Z102016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会计监督的内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3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容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1Z102020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成本与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95-97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1Z102021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费用与成本的关系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92-9</w:t>
            </w:r>
          </w:p>
        </w:tc>
        <w:tc>
          <w:tcPr>
            <w:tcW w:w="3180" w:type="dxa"/>
            <w:vAlign w:val="bottom"/>
            <w:vMerge w:val="restart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删除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：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二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费用和成本的区别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20"/>
          </w:cols>
          <w:pgMar w:left="940" w:top="1440" w:right="946" w:bottom="1018" w:gutter="0" w:footer="0" w:header="0"/>
        </w:sectPr>
      </w:pPr>
    </w:p>
    <w:bookmarkStart w:id="4" w:name="page5"/>
    <w:bookmarkEnd w:id="4"/>
    <w:p>
      <w:pPr>
        <w:spacing w:after="0" w:line="10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595630</wp:posOffset>
            </wp:positionH>
            <wp:positionV relativeFrom="page">
              <wp:posOffset>914400</wp:posOffset>
            </wp:positionV>
            <wp:extent cx="6368415" cy="85699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856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2"/>
        </w:trPr>
        <w:tc>
          <w:tcPr>
            <w:tcW w:w="188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费用</w:t>
            </w:r>
          </w:p>
        </w:tc>
        <w:tc>
          <w:tcPr>
            <w:tcW w:w="4260" w:type="dxa"/>
            <w:vAlign w:val="bottom"/>
            <w:vMerge w:val="restart"/>
          </w:tcPr>
          <w:p>
            <w:pPr>
              <w:ind w:left="106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新增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一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企业支出的类别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</w:p>
        </w:tc>
        <w:tc>
          <w:tcPr>
            <w:tcW w:w="5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  <w:w w:val="87"/>
              </w:rPr>
              <w:t>3</w:t>
            </w:r>
          </w:p>
        </w:tc>
        <w:tc>
          <w:tcPr>
            <w:tcW w:w="3220" w:type="dxa"/>
            <w:vAlign w:val="bottom"/>
            <w:vMerge w:val="restart"/>
          </w:tcPr>
          <w:p>
            <w:pPr>
              <w:ind w:left="14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和联系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”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三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工程成本和费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6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用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06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三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费用的分类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四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成本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3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形成和分类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jc w:val="center"/>
              <w:ind w:right="32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97-98</w:t>
            </w:r>
          </w:p>
        </w:tc>
        <w:tc>
          <w:tcPr>
            <w:tcW w:w="5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94-9</w:t>
            </w:r>
          </w:p>
        </w:tc>
        <w:tc>
          <w:tcPr>
            <w:tcW w:w="3220" w:type="dxa"/>
            <w:vAlign w:val="bottom"/>
          </w:tcPr>
          <w:p>
            <w:pPr>
              <w:ind w:left="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“1Z102022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工程成本确认和计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06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修改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：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“1Z102022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工程成本确认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  <w:w w:val="87"/>
              </w:rPr>
              <w:t>5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20" w:type="dxa"/>
            <w:vAlign w:val="bottom"/>
            <w:vMerge w:val="restart"/>
          </w:tcPr>
          <w:p>
            <w:pPr>
              <w:ind w:left="14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算方法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中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一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成本费用的确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60" w:type="dxa"/>
            <w:vAlign w:val="bottom"/>
            <w:vMerge w:val="restart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和结算方法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中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工程成本的确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认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部分内容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认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jc w:val="center"/>
              <w:ind w:right="32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  <w:w w:val="98"/>
              </w:rPr>
              <w:t>98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06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新增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：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二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施工费用的计量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”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5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06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中的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（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二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）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施工费用的构成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2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jc w:val="center"/>
              <w:ind w:right="32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99-100</w:t>
            </w:r>
          </w:p>
        </w:tc>
        <w:tc>
          <w:tcPr>
            <w:tcW w:w="5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97</w:t>
            </w:r>
          </w:p>
        </w:tc>
        <w:tc>
          <w:tcPr>
            <w:tcW w:w="3220" w:type="dxa"/>
            <w:vAlign w:val="bottom"/>
            <w:vMerge w:val="restart"/>
          </w:tcPr>
          <w:p>
            <w:pPr>
              <w:ind w:left="14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（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2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）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预计净残值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和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“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（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3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）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06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  <w:w w:val="99"/>
              </w:rPr>
              <w:t>修改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  <w:w w:val="99"/>
              </w:rPr>
              <w:t>：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  <w:w w:val="99"/>
              </w:rPr>
              <w:t>“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  <w:w w:val="99"/>
              </w:rPr>
              <w:t>（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  <w:w w:val="99"/>
              </w:rPr>
              <w:t>2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  <w:w w:val="99"/>
              </w:rPr>
              <w:t>）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  <w:w w:val="99"/>
              </w:rPr>
              <w:t>预计净残值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  <w:w w:val="99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  <w:w w:val="99"/>
              </w:rPr>
              <w:t>和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  <w:w w:val="99"/>
              </w:rPr>
              <w:t>“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  <w:w w:val="99"/>
              </w:rPr>
              <w:t>（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  <w:w w:val="99"/>
              </w:rPr>
              <w:t>3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  <w:w w:val="99"/>
              </w:rPr>
              <w:t>）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2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4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0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固定资产使用寿命和折旧年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定资产使用寿命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限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中的内容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jc w:val="center"/>
              <w:ind w:right="32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104-105</w:t>
            </w:r>
          </w:p>
        </w:tc>
        <w:tc>
          <w:tcPr>
            <w:tcW w:w="5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101-</w:t>
            </w:r>
          </w:p>
        </w:tc>
        <w:tc>
          <w:tcPr>
            <w:tcW w:w="3220" w:type="dxa"/>
            <w:vAlign w:val="bottom"/>
          </w:tcPr>
          <w:p>
            <w:pPr>
              <w:ind w:left="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“1Z102023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工程成本的核算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06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修改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：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“1Z102023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工程成本的核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102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20" w:type="dxa"/>
            <w:vAlign w:val="bottom"/>
            <w:vMerge w:val="restart"/>
          </w:tcPr>
          <w:p>
            <w:pPr>
              <w:ind w:left="14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二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工程成本核算对象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06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算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中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二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工程成本核算对象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9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0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中的部分内容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jc w:val="center"/>
              <w:ind w:right="32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105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06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新增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：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（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一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）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工程成本核算的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4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原则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3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108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新增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“5.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工程结算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4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jc w:val="center"/>
              <w:ind w:right="32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109</w:t>
            </w:r>
          </w:p>
        </w:tc>
        <w:tc>
          <w:tcPr>
            <w:tcW w:w="5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105</w:t>
            </w:r>
          </w:p>
        </w:tc>
        <w:tc>
          <w:tcPr>
            <w:tcW w:w="3220" w:type="dxa"/>
            <w:vAlign w:val="bottom"/>
            <w:vMerge w:val="restart"/>
          </w:tcPr>
          <w:p>
            <w:pPr>
              <w:ind w:left="14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（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四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）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计算年度合同费用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06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修改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：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（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四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）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计算年度合同费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2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4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用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中部分内容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2940" w:hanging="736"/>
        <w:spacing w:after="0" w:line="267" w:lineRule="exact"/>
        <w:tabs>
          <w:tab w:leader="none" w:pos="2940" w:val="left"/>
        </w:tabs>
        <w:numPr>
          <w:ilvl w:val="0"/>
          <w:numId w:val="1"/>
        </w:numPr>
        <w:rPr>
          <w:rFonts w:ascii="Calibri" w:cs="Calibri" w:eastAsia="Calibri" w:hAnsi="Calibri"/>
          <w:sz w:val="18"/>
          <w:szCs w:val="18"/>
          <w:color w:val="333333"/>
        </w:rPr>
      </w:pPr>
      <w:r>
        <w:rPr>
          <w:rFonts w:ascii="宋体" w:cs="宋体" w:eastAsia="宋体" w:hAnsi="宋体"/>
          <w:sz w:val="21"/>
          <w:szCs w:val="21"/>
          <w:color w:val="333333"/>
        </w:rPr>
        <w:t>新增</w:t>
      </w:r>
      <w:r>
        <w:rPr>
          <w:rFonts w:ascii="Calibri" w:cs="Calibri" w:eastAsia="Calibri" w:hAnsi="Calibri"/>
          <w:sz w:val="21"/>
          <w:szCs w:val="21"/>
          <w:color w:val="333333"/>
        </w:rPr>
        <w:t xml:space="preserve"> “1Z102024 </w:t>
      </w:r>
      <w:r>
        <w:rPr>
          <w:rFonts w:ascii="宋体" w:cs="宋体" w:eastAsia="宋体" w:hAnsi="宋体"/>
          <w:sz w:val="21"/>
          <w:szCs w:val="21"/>
          <w:color w:val="333333"/>
        </w:rPr>
        <w:t>施工企业期间</w:t>
      </w:r>
      <w:r>
        <w:rPr>
          <w:rFonts w:ascii="Calibri" w:cs="Calibri" w:eastAsia="Calibri" w:hAnsi="Calibri"/>
          <w:sz w:val="21"/>
          <w:szCs w:val="21"/>
          <w:color w:val="333333"/>
        </w:rPr>
        <w:t xml:space="preserve">   </w:t>
      </w:r>
      <w:r>
        <w:rPr>
          <w:rFonts w:ascii="Calibri" w:cs="Calibri" w:eastAsia="Calibri" w:hAnsi="Calibri"/>
          <w:sz w:val="18"/>
          <w:szCs w:val="18"/>
          <w:color w:val="333333"/>
        </w:rPr>
        <w:t>106</w:t>
      </w:r>
      <w:r>
        <w:rPr>
          <w:rFonts w:ascii="Calibri" w:cs="Calibri" w:eastAsia="Calibri" w:hAnsi="Calibri"/>
          <w:sz w:val="21"/>
          <w:szCs w:val="21"/>
          <w:color w:val="333333"/>
        </w:rPr>
        <w:t xml:space="preserve">   1Z102024 </w:t>
      </w:r>
      <w:r>
        <w:rPr>
          <w:rFonts w:ascii="宋体" w:cs="宋体" w:eastAsia="宋体" w:hAnsi="宋体"/>
          <w:sz w:val="21"/>
          <w:szCs w:val="21"/>
          <w:color w:val="333333"/>
        </w:rPr>
        <w:t>施工企业期间费用</w:t>
      </w:r>
    </w:p>
    <w:p>
      <w:pPr>
        <w:ind w:left="6820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333333"/>
        </w:rPr>
        <w:t>的核算</w:t>
      </w:r>
    </w:p>
    <w:p>
      <w:pPr>
        <w:ind w:left="2940"/>
        <w:spacing w:after="0" w:line="2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333333"/>
        </w:rPr>
        <w:t>费用的核算</w:t>
      </w:r>
      <w:r>
        <w:rPr>
          <w:rFonts w:ascii="Calibri" w:cs="Calibri" w:eastAsia="Calibri" w:hAnsi="Calibri"/>
          <w:sz w:val="21"/>
          <w:szCs w:val="21"/>
          <w:color w:val="333333"/>
        </w:rPr>
        <w:t>”</w:t>
      </w:r>
      <w:r>
        <w:rPr>
          <w:rFonts w:ascii="宋体" w:cs="宋体" w:eastAsia="宋体" w:hAnsi="宋体"/>
          <w:sz w:val="21"/>
          <w:szCs w:val="21"/>
          <w:color w:val="333333"/>
        </w:rPr>
        <w:t>中</w:t>
      </w:r>
      <w:r>
        <w:rPr>
          <w:rFonts w:ascii="Calibri" w:cs="Calibri" w:eastAsia="Calibri" w:hAnsi="Calibri"/>
          <w:sz w:val="21"/>
          <w:szCs w:val="21"/>
          <w:color w:val="333333"/>
        </w:rPr>
        <w:t>“</w:t>
      </w:r>
      <w:r>
        <w:rPr>
          <w:rFonts w:ascii="宋体" w:cs="宋体" w:eastAsia="宋体" w:hAnsi="宋体"/>
          <w:sz w:val="21"/>
          <w:szCs w:val="21"/>
          <w:color w:val="333333"/>
        </w:rPr>
        <w:t>三</w:t>
      </w:r>
      <w:r>
        <w:rPr>
          <w:rFonts w:ascii="Microsoft YaHei UI" w:cs="Microsoft YaHei UI" w:eastAsia="Microsoft YaHei UI" w:hAnsi="Microsoft YaHei UI"/>
          <w:sz w:val="21"/>
          <w:szCs w:val="21"/>
          <w:color w:val="333333"/>
        </w:rPr>
        <w:t>、</w:t>
      </w:r>
      <w:r>
        <w:rPr>
          <w:rFonts w:ascii="宋体" w:cs="宋体" w:eastAsia="宋体" w:hAnsi="宋体"/>
          <w:sz w:val="21"/>
          <w:szCs w:val="21"/>
          <w:color w:val="333333"/>
        </w:rPr>
        <w:t>期间费用核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3160" w:hanging="226"/>
        <w:spacing w:after="0"/>
        <w:tabs>
          <w:tab w:leader="none" w:pos="3160" w:val="left"/>
        </w:tabs>
        <w:numPr>
          <w:ilvl w:val="0"/>
          <w:numId w:val="2"/>
        </w:numPr>
        <w:rPr>
          <w:rFonts w:ascii="宋体" w:cs="宋体" w:eastAsia="宋体" w:hAnsi="宋体"/>
          <w:sz w:val="21"/>
          <w:szCs w:val="21"/>
          <w:color w:val="333333"/>
        </w:rPr>
      </w:pPr>
      <w:r>
        <w:rPr>
          <w:rFonts w:ascii="Calibri" w:cs="Calibri" w:eastAsia="Calibri" w:hAnsi="Calibri"/>
          <w:sz w:val="21"/>
          <w:szCs w:val="21"/>
          <w:color w:val="333333"/>
        </w:rPr>
        <w:t>”</w:t>
      </w:r>
    </w:p>
    <w:p>
      <w:pPr>
        <w:sectPr>
          <w:pgSz w:w="11900" w:h="16838" w:orient="portrait"/>
          <w:cols w:equalWidth="0" w:num="1">
            <w:col w:w="9900"/>
          </w:cols>
          <w:pgMar w:left="1060" w:top="1440" w:right="946" w:bottom="1440" w:gutter="0" w:footer="0" w:header="0"/>
        </w:sectPr>
      </w:pPr>
    </w:p>
    <w:bookmarkStart w:id="5" w:name="page6"/>
    <w:bookmarkEnd w:id="5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7"/>
        </w:trPr>
        <w:tc>
          <w:tcPr>
            <w:tcW w:w="20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111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top w:val="single" w:sz="8" w:color="auto"/>
            </w:tcBorders>
            <w:gridSpan w:val="10"/>
            <w:vMerge w:val="restart"/>
          </w:tcPr>
          <w:p>
            <w:pPr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增加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根据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《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企业会计准则第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1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4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gridSpan w:val="10"/>
          </w:tcPr>
          <w:p>
            <w:pPr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4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号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——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收入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……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相关支出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》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这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gridSpan w:val="10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一段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111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gridSpan w:val="10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1Z102030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收入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107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“……</w:t>
            </w: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333333"/>
              </w:rPr>
              <w:t>工程造价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333333"/>
              </w:rPr>
              <w:t>=</w:t>
            </w: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333333"/>
              </w:rPr>
              <w:t>税前工程造价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333333"/>
              </w:rPr>
              <w:t>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YaHei UI" w:cs="Microsoft YaHei UI" w:eastAsia="Microsoft YaHei UI" w:hAnsi="Microsoft YaHei UI"/>
                <w:sz w:val="21"/>
                <w:szCs w:val="21"/>
                <w:b w:val="1"/>
                <w:bCs w:val="1"/>
                <w:color w:val="333333"/>
              </w:rPr>
              <w:t>（</w:t>
            </w: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333333"/>
              </w:rPr>
              <w:t>1+11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b w:val="1"/>
                <w:bCs w:val="1"/>
                <w:color w:val="333333"/>
              </w:rPr>
              <w:t>％）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，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其中</w:t>
            </w: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333333"/>
              </w:rPr>
              <w:t xml:space="preserve"> 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11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％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为建筑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标题下这段话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“……</w:t>
            </w:r>
          </w:p>
        </w:tc>
        <w:tc>
          <w:tcPr>
            <w:tcW w:w="920" w:type="dxa"/>
            <w:vAlign w:val="bottom"/>
            <w:gridSpan w:val="4"/>
            <w:shd w:val="clear" w:color="auto" w:fill="C0C0C0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FF0000"/>
                <w:highlight w:val="lightGray"/>
              </w:rPr>
              <w:t>工程造价</w:t>
            </w:r>
          </w:p>
        </w:tc>
        <w:tc>
          <w:tcPr>
            <w:tcW w:w="12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FF0000"/>
                <w:highlight w:val="lightGray"/>
                <w:w w:val="76"/>
              </w:rPr>
              <w:t>=</w:t>
            </w:r>
          </w:p>
        </w:tc>
        <w:tc>
          <w:tcPr>
            <w:tcW w:w="220" w:type="dxa"/>
            <w:vAlign w:val="bottom"/>
            <w:shd w:val="clear" w:color="auto" w:fill="C0C0C0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FF0000"/>
                <w:highlight w:val="lightGray"/>
                <w:w w:val="85"/>
              </w:rPr>
              <w:t>税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FF0000"/>
                <w:highlight w:val="lightGray"/>
              </w:rPr>
              <w:t>前工程造价</w:t>
            </w:r>
          </w:p>
        </w:tc>
        <w:tc>
          <w:tcPr>
            <w:tcW w:w="1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FF0000"/>
                <w:highlight w:val="lightGray"/>
                <w:w w:val="95"/>
              </w:rPr>
              <w:t>×</w:t>
            </w:r>
          </w:p>
        </w:tc>
        <w:tc>
          <w:tcPr>
            <w:tcW w:w="2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YaHei UI" w:cs="Microsoft YaHei UI" w:eastAsia="Microsoft YaHei UI" w:hAnsi="Microsoft YaHei UI"/>
                <w:sz w:val="21"/>
                <w:szCs w:val="21"/>
                <w:b w:val="1"/>
                <w:bCs w:val="1"/>
                <w:color w:val="FF0000"/>
                <w:highlight w:val="lightGray"/>
                <w:w w:val="95"/>
              </w:rPr>
              <w:t>（</w:t>
            </w:r>
          </w:p>
        </w:tc>
        <w:tc>
          <w:tcPr>
            <w:tcW w:w="460" w:type="dxa"/>
            <w:vAlign w:val="bottom"/>
            <w:tcBorders>
              <w:bottom w:val="single" w:sz="8" w:color="C0C0C0"/>
            </w:tcBorders>
            <w:gridSpan w:val="2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FF0000"/>
                <w:highlight w:val="lightGray"/>
                <w:w w:val="98"/>
              </w:rPr>
              <w:t>1+10</w:t>
            </w:r>
          </w:p>
        </w:tc>
        <w:tc>
          <w:tcPr>
            <w:tcW w:w="2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YaHei UI" w:cs="Microsoft YaHei UI" w:eastAsia="Microsoft YaHei UI" w:hAnsi="Microsoft YaHei UI"/>
                <w:sz w:val="21"/>
                <w:szCs w:val="21"/>
                <w:b w:val="1"/>
                <w:bCs w:val="1"/>
                <w:color w:val="FF0000"/>
                <w:highlight w:val="lightGray"/>
                <w:w w:val="95"/>
              </w:rPr>
              <w:t>％</w:t>
            </w:r>
          </w:p>
        </w:tc>
        <w:tc>
          <w:tcPr>
            <w:tcW w:w="2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YaHei UI" w:cs="Microsoft YaHei UI" w:eastAsia="Microsoft YaHei UI" w:hAnsi="Microsoft YaHei UI"/>
                <w:sz w:val="21"/>
                <w:szCs w:val="21"/>
                <w:b w:val="1"/>
                <w:bCs w:val="1"/>
                <w:color w:val="FF0000"/>
                <w:highlight w:val="lightGray"/>
                <w:w w:val="95"/>
              </w:rPr>
              <w:t>）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  <w:w w:val="98"/>
              </w:rPr>
              <w:t>，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  <w:w w:val="98"/>
              </w:rPr>
              <w:t>其中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业增值税税率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……”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5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gridSpan w:val="10"/>
          </w:tcPr>
          <w:p>
            <w:pPr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10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％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为建筑业增值税税率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……”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4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111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gridSpan w:val="10"/>
            <w:vMerge w:val="restart"/>
          </w:tcPr>
          <w:p>
            <w:pPr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新增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：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“2017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年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7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月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，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……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收入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4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gridSpan w:val="10"/>
          </w:tcPr>
          <w:p>
            <w:pPr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确认模型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这一段话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。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2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1Z102030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收入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112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20" w:type="dxa"/>
            <w:vAlign w:val="bottom"/>
            <w:gridSpan w:val="10"/>
            <w:vMerge w:val="restart"/>
          </w:tcPr>
          <w:p>
            <w:pPr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新增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：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收入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，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是指企业在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……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4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gridSpan w:val="10"/>
          </w:tcPr>
          <w:p>
            <w:pPr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收入之分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。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这一段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。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3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113-114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gridSpan w:val="10"/>
            <w:vMerge w:val="restart"/>
          </w:tcPr>
          <w:p>
            <w:pPr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修改并增加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三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收入的确定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”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109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三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收入的确认原则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gridSpan w:val="10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中的部分内容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115-116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gridSpan w:val="10"/>
            <w:vMerge w:val="restart"/>
          </w:tcPr>
          <w:p>
            <w:pPr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“1Z102032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建造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（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施工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）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合同收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110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“1Z102032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建造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（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施工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）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合同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3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gridSpan w:val="10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入的核算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整节内容修改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收入的核算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1Z102040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利润和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122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gridSpan w:val="10"/>
            <w:vMerge w:val="restart"/>
          </w:tcPr>
          <w:p>
            <w:pPr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新增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（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三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）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应纳税额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所得税费用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2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124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gridSpan w:val="10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修改标题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“1Z102050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企业财务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124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“1Z102050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企业财务报表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gridSpan w:val="10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报表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下对财务报表的定义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1Z102050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企业财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124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gridSpan w:val="10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修改标题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“1Z102051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财务报表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124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“1Z102051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财务报表的构成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务报表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gridSpan w:val="10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的构成和列表的基本要求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126-127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gridSpan w:val="10"/>
            <w:vMerge w:val="restart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修改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：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124-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一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财务报表列表的基本要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125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20"/>
          </w:cols>
          <w:pgMar w:left="940" w:top="1420" w:right="946" w:bottom="1440" w:gutter="0" w:footer="0" w:header="0"/>
        </w:sectPr>
      </w:pPr>
    </w:p>
    <w:bookmarkStart w:id="6" w:name="page7"/>
    <w:bookmarkEnd w:id="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40"/>
        </w:trPr>
        <w:tc>
          <w:tcPr>
            <w:tcW w:w="114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一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财务报表列表的基本要求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求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和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二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财务报表的构成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4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和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二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财务报表的构成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中的所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9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有内容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128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修改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：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FF0000"/>
              </w:rPr>
              <w:t>资产负债表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（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表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1Z102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125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资产负债表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（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表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1Z102052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9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052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）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中的内容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中的内容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2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删除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128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删除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8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三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所有者权益变动表的内容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3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和作用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130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新增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：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“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（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一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）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利润表的内容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”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4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新增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（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5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）（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6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）（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7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）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3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0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130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修改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：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FF0000"/>
              </w:rPr>
              <w:t>利润表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（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表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1Z102053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）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129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利润表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（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表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1Z102053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）（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9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中的内容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9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4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133-134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修改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：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FF0000"/>
              </w:rPr>
              <w:t>现金流量表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（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表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1Z102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131-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现金流量表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”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（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表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1Z102054-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132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7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054-1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）、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FF0000"/>
              </w:rPr>
              <w:t>现金流量表补充材料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1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）、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现金流量表补充材料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（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4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（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表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1Z102054-2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）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中的内容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1Z102054-2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2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135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修改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：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“1Z102055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财务报表附注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133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“1Z102055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财务报表附注的内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容和作用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中的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一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财务报表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的内容和作用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中的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一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财务报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表附注的主要内容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中的内容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附注的主要内容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（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133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2"/>
        </w:trPr>
        <w:tc>
          <w:tcPr>
            <w:tcW w:w="114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1Z102060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财务分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137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1Z102062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基本财务比率的计算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135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财务比率分析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……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科目之间的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14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和分析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关系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14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析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14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修改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财务比率分析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……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和变化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20"/>
          </w:cols>
          <w:pgMar w:left="940" w:top="1420" w:right="946" w:bottom="1440" w:gutter="0" w:footer="0" w:header="0"/>
        </w:sectPr>
      </w:pPr>
    </w:p>
    <w:bookmarkStart w:id="7" w:name="page8"/>
    <w:bookmarkEnd w:id="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82"/>
        </w:trPr>
        <w:tc>
          <w:tcPr>
            <w:tcW w:w="20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top w:val="single" w:sz="8" w:color="auto"/>
              <w:right w:val="single" w:sz="8" w:color="auto"/>
            </w:tcBorders>
            <w:gridSpan w:val="17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趋势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  <w:gridSpan w:val="17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137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17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1Z102062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基本财务比率的计算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135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一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偿还能力比率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17"/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和分析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1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5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17"/>
          </w:tcPr>
          <w:p>
            <w:pPr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修改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一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、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偿还能力比率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中的部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17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分内容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  <w:gridSpan w:val="1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138-139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17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新增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“2.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产权比率和权益乘数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”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17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及内容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  <w:gridSpan w:val="1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139-140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17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1Z102062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基本财务比率的计算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137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公式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（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1Z102062-7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）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存货周转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17"/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和分析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1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次数的计算公式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和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公式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（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1Z1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修改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</w:p>
        </w:tc>
        <w:tc>
          <w:tcPr>
            <w:tcW w:w="460" w:type="dxa"/>
            <w:vAlign w:val="bottom"/>
            <w:vMerge w:val="restart"/>
            <w:shd w:val="clear" w:color="auto" w:fill="C0C0C0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FF0000"/>
                <w:highlight w:val="lightGray"/>
              </w:rPr>
              <w:t>公式</w:t>
            </w:r>
          </w:p>
        </w:tc>
        <w:tc>
          <w:tcPr>
            <w:tcW w:w="220" w:type="dxa"/>
            <w:vAlign w:val="bottom"/>
            <w:vMerge w:val="restart"/>
            <w:shd w:val="clear" w:color="auto" w:fill="C0C0C0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YaHei UI" w:cs="Microsoft YaHei UI" w:eastAsia="Microsoft YaHei UI" w:hAnsi="Microsoft YaHei UI"/>
                <w:sz w:val="21"/>
                <w:szCs w:val="21"/>
                <w:b w:val="1"/>
                <w:bCs w:val="1"/>
                <w:color w:val="FF0000"/>
                <w:highlight w:val="lightGray"/>
                <w:w w:val="95"/>
              </w:rPr>
              <w:t>（</w:t>
            </w:r>
          </w:p>
        </w:tc>
        <w:tc>
          <w:tcPr>
            <w:tcW w:w="1120" w:type="dxa"/>
            <w:vAlign w:val="bottom"/>
            <w:gridSpan w:val="6"/>
            <w:vMerge w:val="restart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FF0000"/>
                <w:highlight w:val="lightGray"/>
              </w:rPr>
              <w:t>1Z102062-9</w:t>
            </w:r>
          </w:p>
        </w:tc>
        <w:tc>
          <w:tcPr>
            <w:tcW w:w="220" w:type="dxa"/>
            <w:vAlign w:val="bottom"/>
            <w:gridSpan w:val="2"/>
            <w:vMerge w:val="restart"/>
            <w:shd w:val="clear" w:color="auto" w:fill="C0C0C0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YaHei UI" w:cs="Microsoft YaHei UI" w:eastAsia="Microsoft YaHei UI" w:hAnsi="Microsoft YaHei UI"/>
                <w:sz w:val="21"/>
                <w:szCs w:val="21"/>
                <w:b w:val="1"/>
                <w:bCs w:val="1"/>
                <w:color w:val="FF0000"/>
                <w:highlight w:val="lightGray"/>
                <w:w w:val="85"/>
              </w:rPr>
              <w:t>）</w:t>
            </w:r>
          </w:p>
        </w:tc>
        <w:tc>
          <w:tcPr>
            <w:tcW w:w="460" w:type="dxa"/>
            <w:vAlign w:val="bottom"/>
            <w:gridSpan w:val="3"/>
            <w:vMerge w:val="restart"/>
            <w:shd w:val="clear" w:color="auto" w:fill="C0C0C0"/>
          </w:tcPr>
          <w:p>
            <w:pPr>
              <w:jc w:val="right"/>
              <w:ind w:righ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FF0000"/>
                <w:highlight w:val="lightGray"/>
                <w:w w:val="99"/>
              </w:rPr>
              <w:t>存货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C0C0C0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C0C0C0"/>
            </w:tcBorders>
            <w:vMerge w:val="continue"/>
            <w:shd w:val="clear" w:color="auto" w:fill="C0C0C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C0C0C0"/>
            </w:tcBorders>
            <w:gridSpan w:val="6"/>
            <w:vMerge w:val="continue"/>
            <w:shd w:val="clear" w:color="auto" w:fill="C0C0C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C0C0C0"/>
            </w:tcBorders>
            <w:gridSpan w:val="2"/>
            <w:vMerge w:val="continue"/>
            <w:shd w:val="clear" w:color="auto" w:fill="C0C0C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C0C0C0"/>
            </w:tcBorders>
            <w:gridSpan w:val="3"/>
            <w:vMerge w:val="continue"/>
            <w:shd w:val="clear" w:color="auto" w:fill="C0C0C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4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02062-9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）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应收账款周转率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（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20" w:type="dxa"/>
            <w:vAlign w:val="bottom"/>
            <w:gridSpan w:val="10"/>
            <w:shd w:val="clear" w:color="auto" w:fill="C0C0C0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FF0000"/>
                <w:highlight w:val="lightGray"/>
              </w:rPr>
              <w:t>周转次数的计算公式</w:t>
            </w: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和</w:t>
            </w:r>
          </w:p>
        </w:tc>
        <w:tc>
          <w:tcPr>
            <w:tcW w:w="100" w:type="dxa"/>
            <w:vAlign w:val="bottom"/>
            <w:shd w:val="clear" w:color="auto" w:fill="C0C0C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9"/>
                <w:szCs w:val="19"/>
                <w:b w:val="1"/>
                <w:bCs w:val="1"/>
                <w:color w:val="FF0000"/>
                <w:highlight w:val="lightGray"/>
                <w:w w:val="71"/>
              </w:rPr>
              <w:t>“</w:t>
            </w:r>
          </w:p>
        </w:tc>
        <w:tc>
          <w:tcPr>
            <w:tcW w:w="460" w:type="dxa"/>
            <w:vAlign w:val="bottom"/>
            <w:gridSpan w:val="3"/>
            <w:shd w:val="clear" w:color="auto" w:fill="C0C0C0"/>
          </w:tcPr>
          <w:p>
            <w:pPr>
              <w:jc w:val="right"/>
              <w:ind w:righ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FF0000"/>
                <w:highlight w:val="lightGray"/>
                <w:w w:val="99"/>
              </w:rPr>
              <w:t>公式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4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YaHei UI" w:cs="Microsoft YaHei UI" w:eastAsia="Microsoft YaHei UI" w:hAnsi="Microsoft YaHei UI"/>
                <w:sz w:val="21"/>
                <w:szCs w:val="21"/>
                <w:b w:val="1"/>
                <w:bCs w:val="1"/>
                <w:color w:val="FF0000"/>
                <w:highlight w:val="lightGray"/>
                <w:w w:val="95"/>
              </w:rPr>
              <w:t>（</w:t>
            </w:r>
          </w:p>
        </w:tc>
        <w:tc>
          <w:tcPr>
            <w:tcW w:w="1220" w:type="dxa"/>
            <w:vAlign w:val="bottom"/>
            <w:tcBorders>
              <w:bottom w:val="single" w:sz="8" w:color="C0C0C0"/>
            </w:tcBorders>
            <w:gridSpan w:val="6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FF0000"/>
                <w:highlight w:val="lightGray"/>
              </w:rPr>
              <w:t>1Z102062-11</w:t>
            </w:r>
          </w:p>
        </w:tc>
        <w:tc>
          <w:tcPr>
            <w:tcW w:w="220" w:type="dxa"/>
            <w:vAlign w:val="bottom"/>
            <w:tcBorders>
              <w:bottom w:val="single" w:sz="8" w:color="C0C0C0"/>
            </w:tcBorders>
            <w:gridSpan w:val="2"/>
            <w:shd w:val="clear" w:color="auto" w:fill="C0C0C0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YaHei UI" w:cs="Microsoft YaHei UI" w:eastAsia="Microsoft YaHei UI" w:hAnsi="Microsoft YaHei UI"/>
                <w:sz w:val="21"/>
                <w:szCs w:val="21"/>
                <w:b w:val="1"/>
                <w:bCs w:val="1"/>
                <w:color w:val="FF0000"/>
                <w:highlight w:val="lightGray"/>
                <w:w w:val="95"/>
              </w:rPr>
              <w:t>）</w:t>
            </w:r>
          </w:p>
        </w:tc>
        <w:tc>
          <w:tcPr>
            <w:tcW w:w="1360" w:type="dxa"/>
            <w:vAlign w:val="bottom"/>
            <w:tcBorders>
              <w:bottom w:val="single" w:sz="8" w:color="C0C0C0"/>
            </w:tcBorders>
            <w:gridSpan w:val="7"/>
            <w:shd w:val="clear" w:color="auto" w:fill="C0C0C0"/>
          </w:tcPr>
          <w:p>
            <w:pPr>
              <w:jc w:val="right"/>
              <w:ind w:righ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FF0000"/>
                <w:highlight w:val="lightGray"/>
              </w:rPr>
              <w:t>应收账款周转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转次数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）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的计算公式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4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gridSpan w:val="6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FF0000"/>
                <w:highlight w:val="lightGray"/>
                <w:w w:val="94"/>
              </w:rPr>
              <w:t>率</w:t>
            </w:r>
          </w:p>
        </w:tc>
        <w:tc>
          <w:tcPr>
            <w:tcW w:w="22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YaHei UI" w:cs="Microsoft YaHei UI" w:eastAsia="Microsoft YaHei UI" w:hAnsi="Microsoft YaHei UI"/>
                <w:sz w:val="21"/>
                <w:szCs w:val="21"/>
                <w:b w:val="1"/>
                <w:bCs w:val="1"/>
                <w:color w:val="FF0000"/>
                <w:highlight w:val="lightGray"/>
                <w:w w:val="95"/>
              </w:rPr>
              <w:t>（</w:t>
            </w:r>
          </w:p>
        </w:tc>
        <w:tc>
          <w:tcPr>
            <w:tcW w:w="920" w:type="dxa"/>
            <w:vAlign w:val="bottom"/>
            <w:tcBorders>
              <w:bottom w:val="single" w:sz="8" w:color="C0C0C0"/>
            </w:tcBorders>
            <w:gridSpan w:val="4"/>
            <w:shd w:val="clear" w:color="auto" w:fill="C0C0C0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FF0000"/>
                <w:highlight w:val="lightGray"/>
              </w:rPr>
              <w:t>周转次数</w:t>
            </w:r>
          </w:p>
        </w:tc>
        <w:tc>
          <w:tcPr>
            <w:tcW w:w="220" w:type="dxa"/>
            <w:vAlign w:val="bottom"/>
            <w:tcBorders>
              <w:bottom w:val="single" w:sz="8" w:color="C0C0C0"/>
            </w:tcBorders>
            <w:gridSpan w:val="2"/>
            <w:shd w:val="clear" w:color="auto" w:fill="C0C0C0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YaHei UI" w:cs="Microsoft YaHei UI" w:eastAsia="Microsoft YaHei UI" w:hAnsi="Microsoft YaHei UI"/>
                <w:sz w:val="21"/>
                <w:szCs w:val="21"/>
                <w:b w:val="1"/>
                <w:bCs w:val="1"/>
                <w:color w:val="FF0000"/>
                <w:highlight w:val="lightGray"/>
                <w:w w:val="95"/>
              </w:rPr>
              <w:t>）</w:t>
            </w:r>
          </w:p>
        </w:tc>
        <w:tc>
          <w:tcPr>
            <w:tcW w:w="1140" w:type="dxa"/>
            <w:vAlign w:val="bottom"/>
            <w:tcBorders>
              <w:bottom w:val="single" w:sz="8" w:color="C0C0C0"/>
            </w:tcBorders>
            <w:gridSpan w:val="6"/>
            <w:shd w:val="clear" w:color="auto" w:fill="C0C0C0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FF0000"/>
                <w:highlight w:val="lightGray"/>
              </w:rPr>
              <w:t>的计算公式</w:t>
            </w:r>
          </w:p>
        </w:tc>
        <w:tc>
          <w:tcPr>
            <w:tcW w:w="100" w:type="dxa"/>
            <w:vAlign w:val="bottom"/>
            <w:tcBorders>
              <w:bottom w:val="single" w:sz="8" w:color="C0C0C0"/>
            </w:tcBorders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FF0000"/>
                <w:highlight w:val="lightGray"/>
                <w:w w:val="87"/>
              </w:rPr>
              <w:t>”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5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  <w:gridSpan w:val="1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140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17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新增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“1.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营业净利率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及内容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4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1Z102070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筹资管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142-153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17"/>
            <w:vMerge w:val="restart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对整节进行了重新整理排版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，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140-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三级标题为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理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17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149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7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17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列出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：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1Z102071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资金成本的作用及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其计算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17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1Z102071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筹资主体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1Z102072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短期筹资的特点和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17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1Z102072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筹资方式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方式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3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17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1Z102073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资金成本的计算与应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1Z102073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长期筹资的特点和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17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用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方式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7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17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1Z102074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资本结构分析与优化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17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四小节内容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，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 xml:space="preserve"> 对之前内容进行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4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17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汇总和删减和新增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。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并新增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【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例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17"/>
          </w:tcPr>
          <w:p>
            <w:pPr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1Z102072-2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】【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例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1Z102073-3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】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20"/>
          </w:cols>
          <w:pgMar w:left="940" w:top="1420" w:right="946" w:bottom="1440" w:gutter="0" w:footer="0" w:header="0"/>
        </w:sectPr>
      </w:pPr>
    </w:p>
    <w:bookmarkStart w:id="8" w:name="page9"/>
    <w:bookmarkEnd w:id="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8"/>
        </w:trPr>
        <w:tc>
          <w:tcPr>
            <w:tcW w:w="20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两道例题</w:t>
            </w:r>
            <w:r>
              <w:rPr>
                <w:rFonts w:ascii="Microsoft YaHei UI" w:cs="Microsoft YaHei UI" w:eastAsia="Microsoft YaHei UI" w:hAnsi="Microsoft YaHei UI"/>
                <w:sz w:val="21"/>
                <w:szCs w:val="21"/>
                <w:color w:val="333333"/>
              </w:rPr>
              <w:t>。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6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1Z102080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流动资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153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标题下第一段修改为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 xml:space="preserve"> “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营运资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333333"/>
              </w:rPr>
              <w:t>149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流动资产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……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避免经营风险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</w:tr>
      <w:tr>
        <w:trPr>
          <w:trHeight w:val="312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产财务管理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本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……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避免经营风险</w:t>
            </w:r>
            <w:r>
              <w:rPr>
                <w:rFonts w:ascii="Calibri" w:cs="Calibri" w:eastAsia="Calibri" w:hAnsi="Calibri"/>
                <w:sz w:val="21"/>
                <w:szCs w:val="21"/>
                <w:color w:val="333333"/>
              </w:rPr>
              <w:t>”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1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10020"/>
      </w:cols>
      <w:pgMar w:left="940" w:top="1420" w:right="9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%1"/>
      <w:numFmt w:val="decimal"/>
      <w:start w:val="111"/>
    </w:lvl>
  </w:abstractNum>
  <w:abstractNum w:abstractNumId="1">
    <w:nsid w:val="5F90"/>
    <w:multiLevelType w:val="hybridMultilevel"/>
    <w:lvl w:ilvl="0">
      <w:lvlJc w:val="left"/>
      <w:lvlText w:val="算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2018-05-22T09:01:09Z</dcterms:created>
  <dcterms:modified xsi:type="dcterms:W3CDTF">2018-05-22T09:01:09Z</dcterms:modified>
</cp:coreProperties>
</file>